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814CB" w14:textId="77777777" w:rsidR="00C52493" w:rsidRPr="00C52493" w:rsidRDefault="00C52493" w:rsidP="00C52493">
      <w:pPr>
        <w:shd w:val="clear" w:color="auto" w:fill="FFFFFF"/>
        <w:spacing w:after="0" w:line="240" w:lineRule="auto"/>
        <w:jc w:val="center"/>
        <w:outlineLvl w:val="4"/>
        <w:rPr>
          <w:rFonts w:ascii="Raleway" w:eastAsia="Times New Roman" w:hAnsi="Raleway" w:cs="Times New Roman"/>
          <w:color w:val="011B3A"/>
          <w:sz w:val="27"/>
          <w:szCs w:val="27"/>
        </w:rPr>
      </w:pPr>
      <w:proofErr w:type="spellStart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>Lansarea</w:t>
      </w:r>
      <w:proofErr w:type="spellEnd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 xml:space="preserve"> </w:t>
      </w:r>
      <w:proofErr w:type="spellStart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>Selecției</w:t>
      </w:r>
      <w:proofErr w:type="spellEnd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 xml:space="preserve"> </w:t>
      </w:r>
      <w:proofErr w:type="spellStart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>Centralizate</w:t>
      </w:r>
      <w:proofErr w:type="spellEnd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 xml:space="preserve"> </w:t>
      </w:r>
      <w:proofErr w:type="spellStart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>pentru</w:t>
      </w:r>
      <w:proofErr w:type="spellEnd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 xml:space="preserve"> </w:t>
      </w:r>
      <w:proofErr w:type="spellStart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>Mobilități</w:t>
      </w:r>
      <w:proofErr w:type="spellEnd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 xml:space="preserve"> de </w:t>
      </w:r>
      <w:proofErr w:type="spellStart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>Studii</w:t>
      </w:r>
      <w:proofErr w:type="spellEnd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 xml:space="preserve"> Erasmus (</w:t>
      </w:r>
      <w:proofErr w:type="spellStart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>semestrul</w:t>
      </w:r>
      <w:proofErr w:type="spellEnd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 xml:space="preserve"> al </w:t>
      </w:r>
      <w:proofErr w:type="spellStart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>doilea</w:t>
      </w:r>
      <w:proofErr w:type="spellEnd"/>
      <w:r w:rsidRPr="00C52493">
        <w:rPr>
          <w:rFonts w:ascii="Raleway" w:eastAsia="Times New Roman" w:hAnsi="Raleway" w:cs="Times New Roman"/>
          <w:b/>
          <w:bCs/>
          <w:color w:val="002169"/>
          <w:sz w:val="28"/>
          <w:szCs w:val="28"/>
          <w:u w:val="single"/>
        </w:rPr>
        <w:t xml:space="preserve"> 2020-2021)</w:t>
      </w:r>
    </w:p>
    <w:p w14:paraId="03B27522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color w:val="022169"/>
          <w:sz w:val="24"/>
          <w:szCs w:val="24"/>
        </w:rPr>
        <w:t> </w:t>
      </w:r>
    </w:p>
    <w:p w14:paraId="70445478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ședința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Biroului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Executiv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al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Consiliului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Administrație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din data de 9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noiembrie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2020 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fost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aprobată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 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lansarea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selecției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centralizate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mobilități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studii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cadrul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Programului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ERASMUS</w:t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, 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un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număr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160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bursieri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stagii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semestrul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al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doilea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al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anului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academic 2020-2021.</w:t>
      </w:r>
    </w:p>
    <w:p w14:paraId="08696580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Selecția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mobilități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studiu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Erasmus 2020-2021 are loc la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nivel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central</w:t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 (nu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fiecare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facultate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), pe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baza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acordurilor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bilaterale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încheiate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cu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universitățile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partenere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conformitate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cu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nivelul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studii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numărul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locuri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și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domeniile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studii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prevăzute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acordurile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respective,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disponibile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 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tabelele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mai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jos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(separate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fiecare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facultate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).</w:t>
      </w:r>
    </w:p>
    <w:p w14:paraId="4E67942D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Mobilitățile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studii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vor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fi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finanțate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o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perioada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minim 3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luni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(90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zile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)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și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maxim un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semestru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academic, pe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durata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semestrului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al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doilea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din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a.a.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2020-2021 (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perioada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ianuarie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–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iulie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2021), cu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precizarea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 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finanțarea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Erasmus se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poate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acorda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doar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cazul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mobilităților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fizice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(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deplasărilor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)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țara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gazdă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.</w:t>
      </w:r>
    </w:p>
    <w:p w14:paraId="76AC506C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Criteriile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eligibilitate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și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selecție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mobilități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>studii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  <w:u w:val="single"/>
        </w:rPr>
        <w:t xml:space="preserve"> Erasmus sunt</w:t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:</w:t>
      </w:r>
    </w:p>
    <w:p w14:paraId="4B96236A" w14:textId="77777777" w:rsidR="00C52493" w:rsidRPr="00C52493" w:rsidRDefault="00C52493" w:rsidP="00C5249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fie student/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masterand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/doctorand al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Universităţii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din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Bucureşti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(la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cursuri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zi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);</w:t>
      </w:r>
    </w:p>
    <w:p w14:paraId="59D96DCD" w14:textId="77777777" w:rsidR="00C52493" w:rsidRPr="00C52493" w:rsidRDefault="00C52493" w:rsidP="00C5249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fie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cel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puțin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absolvent al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primul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an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studii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licență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momentul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selecției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;</w:t>
      </w:r>
    </w:p>
    <w:p w14:paraId="05563894" w14:textId="77777777" w:rsidR="00C52493" w:rsidRPr="00C52493" w:rsidRDefault="00C52493" w:rsidP="00C5249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facă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dovada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cunoaşterii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limbi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străine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(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certificat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/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diplomă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/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atestat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sau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auto-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evaluare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nivel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minim B2).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cazul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auto-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evaluării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și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situația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care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este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selectat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beneficiarul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trebuie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facă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dovada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test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limbă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promovat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cu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nivel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minim B2,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până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la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momentul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plecării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stagiu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;</w:t>
      </w:r>
    </w:p>
    <w:p w14:paraId="57C536D8" w14:textId="77777777" w:rsidR="00C52493" w:rsidRPr="00C52493" w:rsidRDefault="00C52493" w:rsidP="00C5249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prezinte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o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scrisoare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intenţie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/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motivaţie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efectuarea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stagiului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(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într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-o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limbă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străină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), care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conțină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inclusiv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descrierea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programului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/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planului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studii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instituția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gazdă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;</w:t>
      </w:r>
    </w:p>
    <w:p w14:paraId="43D5D555" w14:textId="77777777" w:rsidR="00C52493" w:rsidRPr="00C52493" w:rsidRDefault="00C52493" w:rsidP="00C5249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prezinte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un curriculum vitae,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format EUROPASS (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într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-o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limbă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străină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);</w:t>
      </w:r>
    </w:p>
    <w:p w14:paraId="7D66080D" w14:textId="77777777" w:rsidR="00C52493" w:rsidRPr="00C52493" w:rsidRDefault="00C52493" w:rsidP="00C5249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prezinte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cel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puțin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o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recomandare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efectuarea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mobilității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din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partea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cadru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didactic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universitar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.</w:t>
      </w:r>
    </w:p>
    <w:p w14:paraId="4E4FC352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Candidații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pot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trimite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online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documentele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selecție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până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la data de</w:t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 </w:t>
      </w:r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25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noiembrie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2020 (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ora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12:00)</w:t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completând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aplicația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disponibilă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pe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pagina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internet 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Biroului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ERASMUS+ al UB, 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fldChar w:fldCharType="begin"/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instrText xml:space="preserve"> HYPERLINK "https://forms.gle/kRk2WAe5Vz69NNe4A" \t "_blank" </w:instrText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fldChar w:fldCharType="separate"/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  <w:u w:val="single"/>
        </w:rPr>
        <w:t>aici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fldChar w:fldCharType="end"/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. </w:t>
      </w:r>
    </w:p>
    <w:p w14:paraId="65051081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Comisia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Centrală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Selecție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 Erasmus 2020-2021 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este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compusă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din:</w:t>
      </w:r>
    </w:p>
    <w:p w14:paraId="0E571E66" w14:textId="77777777" w:rsidR="00C52493" w:rsidRPr="00C52493" w:rsidRDefault="00C52493" w:rsidP="00C52493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lastRenderedPageBreak/>
        <w:t>Președinte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comisie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selecție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: </w:t>
      </w: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Dr. Sorin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Costreie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Prorector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Rețele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Universitare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și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Relații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Publice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,</w:t>
      </w:r>
    </w:p>
    <w:p w14:paraId="3F35FA5C" w14:textId="77777777" w:rsidR="00C52493" w:rsidRPr="00C52493" w:rsidRDefault="00C52493" w:rsidP="00C5249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Membrii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comisiei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selecție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:</w:t>
      </w:r>
    </w:p>
    <w:p w14:paraId="14D263F5" w14:textId="77777777" w:rsidR="00C52493" w:rsidRPr="00C52493" w:rsidRDefault="00C52493" w:rsidP="00C52493">
      <w:pPr>
        <w:numPr>
          <w:ilvl w:val="1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Alina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Cristovici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Director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Relații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Internaționale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Coordonator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Instituțional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Erasmus,</w:t>
      </w:r>
    </w:p>
    <w:p w14:paraId="66515AE2" w14:textId="77777777" w:rsidR="00C52493" w:rsidRPr="00C52493" w:rsidRDefault="00C52493" w:rsidP="00C52493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Anca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Stoica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Responsabil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Erasmus+.</w:t>
      </w:r>
    </w:p>
    <w:p w14:paraId="5A1888BC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Comisia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contestații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 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este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compusă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din:</w:t>
      </w:r>
    </w:p>
    <w:p w14:paraId="7A427F11" w14:textId="77777777" w:rsidR="00C52493" w:rsidRPr="00C52493" w:rsidRDefault="00C52493" w:rsidP="00C52493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Președinte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comisie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contestații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: Prof. dr. Bogdan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Ștefănescu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Prorector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Internaționalizare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,</w:t>
      </w:r>
    </w:p>
    <w:p w14:paraId="6411A928" w14:textId="77777777" w:rsidR="00C52493" w:rsidRPr="00C52493" w:rsidRDefault="00C52493" w:rsidP="00C5249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Membrii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comisiei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contestații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:</w:t>
      </w:r>
    </w:p>
    <w:p w14:paraId="149358A6" w14:textId="77777777" w:rsidR="00C52493" w:rsidRPr="00C52493" w:rsidRDefault="00C52493" w:rsidP="00C52493">
      <w:pPr>
        <w:numPr>
          <w:ilvl w:val="1"/>
          <w:numId w:val="3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Raluca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Amza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Responsabil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Erasmus+.</w:t>
      </w:r>
    </w:p>
    <w:p w14:paraId="73BC881B" w14:textId="77777777" w:rsidR="00C52493" w:rsidRPr="00C52493" w:rsidRDefault="00C52493" w:rsidP="00C52493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Beatrice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Crăciun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Responsabil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Erasmus+.</w:t>
      </w:r>
    </w:p>
    <w:p w14:paraId="22BE6FAB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Criteriile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departajare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sunt:</w:t>
      </w:r>
    </w:p>
    <w:p w14:paraId="7ECEB056" w14:textId="77777777" w:rsidR="00C52493" w:rsidRPr="00C52493" w:rsidRDefault="00C52493" w:rsidP="00C52493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Media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școlară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anului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academic anterior,</w:t>
      </w:r>
    </w:p>
    <w:p w14:paraId="5A4FBC71" w14:textId="77777777" w:rsidR="00C52493" w:rsidRPr="00C52493" w:rsidRDefault="00C52493" w:rsidP="00C52493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Scrisoarea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intenție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/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planul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studii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instituția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gazdă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,</w:t>
      </w:r>
    </w:p>
    <w:p w14:paraId="3FFD15CA" w14:textId="77777777" w:rsidR="00C52493" w:rsidRPr="00C52493" w:rsidRDefault="00C52493" w:rsidP="00C52493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Recomandare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efectuarea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mobilității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din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partea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cel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puțin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cadru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didactic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universitar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.</w:t>
      </w:r>
    </w:p>
    <w:p w14:paraId="6B39BEF2" w14:textId="77777777" w:rsidR="00C52493" w:rsidRPr="00C52493" w:rsidRDefault="00C52493" w:rsidP="00C5249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principalGeorgia" w:eastAsia="Times New Roman" w:hAnsi="principalGeorgia" w:cs="Times New Roman"/>
          <w:color w:val="333333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Cunoașterea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limbi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străine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nivel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minim B2,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necesară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derularea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mobilității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.</w:t>
      </w:r>
    </w:p>
    <w:p w14:paraId="215F3E94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Rezultele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selecției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se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vor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afișa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după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data de 27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noiembrie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2020. Ulterior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deciziei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comisiei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selecție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candidații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pot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depune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contestații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privind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selecția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termen de o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zi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lucrătoare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la data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afișării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rezultatelor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selecției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.</w:t>
      </w:r>
    </w:p>
    <w:p w14:paraId="5DF0868F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Având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vedere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informările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din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partea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mai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multor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universități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partenere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a-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și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rezerva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dreptul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a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refuza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mobilitățile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Erasmus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anul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academic 2020-2021,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funcție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evoluția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situației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epidemiologice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COVID-19,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beneficiarii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selectați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mobilități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Erasmus din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partea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UB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trebuie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să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primească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acordul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mobilitate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și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de la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instituția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parteneră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color w:val="002169"/>
          <w:sz w:val="24"/>
          <w:szCs w:val="24"/>
        </w:rPr>
        <w:t>.</w:t>
      </w:r>
    </w:p>
    <w:p w14:paraId="6F671122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Precizăm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cadrul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Programului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Erasmus, un student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poate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beneficia de o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mobilitate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studiu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maxim 12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luni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pe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durata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fiecărui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ciclu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studiu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.</w:t>
      </w:r>
    </w:p>
    <w:p w14:paraId="600948D9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Conform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deciziei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Agenţiei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Naţionale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Programe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Comunitare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domeniul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Educaţiei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şi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Formării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Profesionale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(ANPCDEFP)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şi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anunţului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din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Apelul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Naţional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mobilităţi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Erasmus,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grantul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lunar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un student care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beneficiază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o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mobilitate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studiu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este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stabilit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după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cum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urmează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:</w:t>
      </w:r>
    </w:p>
    <w:tbl>
      <w:tblPr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7"/>
        <w:gridCol w:w="2418"/>
      </w:tblGrid>
      <w:tr w:rsidR="00C52493" w:rsidRPr="00C52493" w14:paraId="7020BA2F" w14:textId="77777777" w:rsidTr="00C52493">
        <w:tc>
          <w:tcPr>
            <w:tcW w:w="7500" w:type="dxa"/>
            <w:shd w:val="clear" w:color="auto" w:fill="FFFFFF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  <w:hideMark/>
          </w:tcPr>
          <w:p w14:paraId="5F3CA4A4" w14:textId="77777777" w:rsidR="00C52493" w:rsidRPr="00C52493" w:rsidRDefault="00C52493" w:rsidP="00C5249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595959"/>
                <w:sz w:val="21"/>
                <w:szCs w:val="21"/>
              </w:rPr>
            </w:pPr>
            <w:proofErr w:type="spellStart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lastRenderedPageBreak/>
              <w:t>Țara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 xml:space="preserve"> de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>destinație</w:t>
            </w:r>
            <w:proofErr w:type="spellEnd"/>
          </w:p>
        </w:tc>
        <w:tc>
          <w:tcPr>
            <w:tcW w:w="2235" w:type="dxa"/>
            <w:shd w:val="clear" w:color="auto" w:fill="FFFFFF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  <w:hideMark/>
          </w:tcPr>
          <w:p w14:paraId="3485126D" w14:textId="77777777" w:rsidR="00C52493" w:rsidRPr="00C52493" w:rsidRDefault="00C52493" w:rsidP="00C5249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595959"/>
                <w:sz w:val="21"/>
                <w:szCs w:val="21"/>
              </w:rPr>
            </w:pPr>
            <w:proofErr w:type="spellStart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>Nivelul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 xml:space="preserve">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>național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>  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>fixat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 xml:space="preserve"> al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>grantului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> (€/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>lună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b/>
                <w:bCs/>
                <w:color w:val="002169"/>
                <w:sz w:val="21"/>
                <w:szCs w:val="21"/>
              </w:rPr>
              <w:t>)*</w:t>
            </w:r>
          </w:p>
        </w:tc>
      </w:tr>
      <w:tr w:rsidR="00C52493" w:rsidRPr="00C52493" w14:paraId="4FFB7CD1" w14:textId="77777777" w:rsidTr="00C52493">
        <w:tc>
          <w:tcPr>
            <w:tcW w:w="7500" w:type="dxa"/>
            <w:shd w:val="clear" w:color="auto" w:fill="FFFFFF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  <w:hideMark/>
          </w:tcPr>
          <w:p w14:paraId="32938E11" w14:textId="77777777" w:rsidR="00C52493" w:rsidRPr="00C52493" w:rsidRDefault="00C52493" w:rsidP="00C5249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595959"/>
                <w:sz w:val="21"/>
                <w:szCs w:val="21"/>
              </w:rPr>
            </w:pPr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 xml:space="preserve">Austria,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Belgia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 xml:space="preserve">, Grecia, Germania,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Franţa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 xml:space="preserve">, Italia,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Portugalia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 xml:space="preserve">,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Spania</w:t>
            </w:r>
            <w:proofErr w:type="spellEnd"/>
          </w:p>
        </w:tc>
        <w:tc>
          <w:tcPr>
            <w:tcW w:w="2235" w:type="dxa"/>
            <w:shd w:val="clear" w:color="auto" w:fill="FFFFFF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  <w:hideMark/>
          </w:tcPr>
          <w:p w14:paraId="61BDF8B7" w14:textId="77777777" w:rsidR="00C52493" w:rsidRPr="00C52493" w:rsidRDefault="00C52493" w:rsidP="00C5249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595959"/>
                <w:sz w:val="21"/>
                <w:szCs w:val="21"/>
              </w:rPr>
            </w:pPr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520</w:t>
            </w:r>
          </w:p>
        </w:tc>
      </w:tr>
      <w:tr w:rsidR="00C52493" w:rsidRPr="00C52493" w14:paraId="1BAFA5BB" w14:textId="77777777" w:rsidTr="00C52493">
        <w:tc>
          <w:tcPr>
            <w:tcW w:w="7500" w:type="dxa"/>
            <w:shd w:val="clear" w:color="auto" w:fill="FFFFFF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  <w:hideMark/>
          </w:tcPr>
          <w:p w14:paraId="7DF02CD2" w14:textId="77777777" w:rsidR="00C52493" w:rsidRPr="00C52493" w:rsidRDefault="00C52493" w:rsidP="00C5249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595959"/>
                <w:sz w:val="21"/>
                <w:szCs w:val="21"/>
              </w:rPr>
            </w:pPr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 xml:space="preserve">Bulgaria,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Cehia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 xml:space="preserve">, FYRO Macedonia, Polonia,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Slovacia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 xml:space="preserve">, Slovenia,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Ungaria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 xml:space="preserve">, </w:t>
            </w:r>
            <w:proofErr w:type="spellStart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Turcia</w:t>
            </w:r>
            <w:proofErr w:type="spellEnd"/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.</w:t>
            </w:r>
          </w:p>
        </w:tc>
        <w:tc>
          <w:tcPr>
            <w:tcW w:w="2235" w:type="dxa"/>
            <w:shd w:val="clear" w:color="auto" w:fill="FFFFFF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  <w:hideMark/>
          </w:tcPr>
          <w:p w14:paraId="01F47EC3" w14:textId="77777777" w:rsidR="00C52493" w:rsidRPr="00C52493" w:rsidRDefault="00C52493" w:rsidP="00C5249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595959"/>
                <w:sz w:val="21"/>
                <w:szCs w:val="21"/>
              </w:rPr>
            </w:pPr>
            <w:r w:rsidRPr="00C52493">
              <w:rPr>
                <w:rFonts w:ascii="Times New Roman" w:eastAsia="Times New Roman" w:hAnsi="Times New Roman" w:cs="Times New Roman"/>
                <w:color w:val="002169"/>
                <w:sz w:val="21"/>
                <w:szCs w:val="21"/>
              </w:rPr>
              <w:t>470</w:t>
            </w:r>
          </w:p>
        </w:tc>
      </w:tr>
    </w:tbl>
    <w:p w14:paraId="3C75B4D4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*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luna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este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calculată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la 30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zile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.</w:t>
      </w:r>
    </w:p>
    <w:p w14:paraId="0AA6F4D9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Contact: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Biroul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Erasmus+ al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Universității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din </w:t>
      </w:r>
      <w:proofErr w:type="spellStart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București</w:t>
      </w:r>
      <w:proofErr w:type="spellEnd"/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 xml:space="preserve"> – </w:t>
      </w:r>
      <w:hyperlink r:id="rId5" w:history="1">
        <w:r w:rsidRPr="00C52493">
          <w:rPr>
            <w:rFonts w:ascii="principalGeorgia" w:eastAsia="Times New Roman" w:hAnsi="principalGeorgia" w:cs="Times New Roman"/>
            <w:color w:val="002169"/>
            <w:sz w:val="24"/>
            <w:szCs w:val="24"/>
            <w:u w:val="single"/>
          </w:rPr>
          <w:t>contact@erasmus.unibuc.ro</w:t>
        </w:r>
      </w:hyperlink>
      <w:r w:rsidRPr="00C52493">
        <w:rPr>
          <w:rFonts w:ascii="principalGeorgia" w:eastAsia="Times New Roman" w:hAnsi="principalGeorgia" w:cs="Times New Roman"/>
          <w:color w:val="002169"/>
          <w:sz w:val="24"/>
          <w:szCs w:val="24"/>
        </w:rPr>
        <w:t>.</w:t>
      </w:r>
    </w:p>
    <w:p w14:paraId="420BD56A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Lista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universităților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partenere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Erasmus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și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numărul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locuri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disponbile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2020-2021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poate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fi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accesată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 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fldChar w:fldCharType="begin"/>
      </w:r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instrText xml:space="preserve"> HYPERLINK "https://drive.google.com/drive/folders/1I48vha6o0aP62IxG23E22hQaO8PX5RHQ?usp=sharing" \t "_blank" </w:instrText>
      </w:r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fldChar w:fldCharType="separate"/>
      </w:r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  <w:u w:val="single"/>
        </w:rPr>
        <w:t>aici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fldChar w:fldCharType="end"/>
      </w:r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.</w:t>
      </w:r>
    </w:p>
    <w:p w14:paraId="5B072045" w14:textId="77777777" w:rsidR="00C52493" w:rsidRPr="00C52493" w:rsidRDefault="00C52493" w:rsidP="00C52493">
      <w:pPr>
        <w:shd w:val="clear" w:color="auto" w:fill="FFFFFF"/>
        <w:spacing w:after="0" w:line="450" w:lineRule="atLeast"/>
        <w:jc w:val="both"/>
        <w:rPr>
          <w:rFonts w:ascii="principalGeorgia" w:eastAsia="Times New Roman" w:hAnsi="principalGeorgia" w:cs="Times New Roman"/>
          <w:color w:val="022169"/>
          <w:sz w:val="24"/>
          <w:szCs w:val="24"/>
        </w:rPr>
      </w:pP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Rezultatele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selecției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centralizate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pentru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mobilități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de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studii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Erasmus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în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semestrul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al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doilea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al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anului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 xml:space="preserve"> academic 2020-2021 pot fi 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accesate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 </w:t>
      </w:r>
      <w:proofErr w:type="spellStart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fldChar w:fldCharType="begin"/>
      </w:r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instrText xml:space="preserve"> HYPERLINK "https://unibuc.ro/wp-content/uploads/2020/11/Rezultatele-selectiei-pentru-mobilitati-de-studii-Erasmus-2020-2021-26.11.2020.-1.pdf" \t "_blank" </w:instrText>
      </w:r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fldChar w:fldCharType="separate"/>
      </w:r>
      <w:r w:rsidRPr="00C52493">
        <w:rPr>
          <w:rFonts w:ascii="principalGeorgia" w:eastAsia="Times New Roman" w:hAnsi="principalGeorgia" w:cs="Times New Roman"/>
          <w:b/>
          <w:bCs/>
          <w:i/>
          <w:iCs/>
          <w:color w:val="00AAFF"/>
          <w:sz w:val="24"/>
          <w:szCs w:val="24"/>
          <w:u w:val="single"/>
        </w:rPr>
        <w:t>aici</w:t>
      </w:r>
      <w:proofErr w:type="spellEnd"/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fldChar w:fldCharType="end"/>
      </w:r>
      <w:r w:rsidRPr="00C52493">
        <w:rPr>
          <w:rFonts w:ascii="principalGeorgia" w:eastAsia="Times New Roman" w:hAnsi="principalGeorgia" w:cs="Times New Roman"/>
          <w:b/>
          <w:bCs/>
          <w:i/>
          <w:iCs/>
          <w:color w:val="002169"/>
          <w:sz w:val="24"/>
          <w:szCs w:val="24"/>
        </w:rPr>
        <w:t>.</w:t>
      </w:r>
    </w:p>
    <w:p w14:paraId="175A2929" w14:textId="77777777" w:rsidR="00184867" w:rsidRDefault="00184867"/>
    <w:sectPr w:rsidR="00184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principalGeorg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A6C78"/>
    <w:multiLevelType w:val="multilevel"/>
    <w:tmpl w:val="F52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866F0"/>
    <w:multiLevelType w:val="multilevel"/>
    <w:tmpl w:val="B32C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D7005"/>
    <w:multiLevelType w:val="multilevel"/>
    <w:tmpl w:val="8B16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2596B"/>
    <w:multiLevelType w:val="multilevel"/>
    <w:tmpl w:val="3850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93"/>
    <w:rsid w:val="00184867"/>
    <w:rsid w:val="00C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C196"/>
  <w15:chartTrackingRefBased/>
  <w15:docId w15:val="{A86E311D-0446-4F6C-B278-DC8FA120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5">
    <w:name w:val="heading 5"/>
    <w:basedOn w:val="Normal"/>
    <w:link w:val="Titlu5Caracter"/>
    <w:uiPriority w:val="9"/>
    <w:qFormat/>
    <w:rsid w:val="00C524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rsid w:val="00C5249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Robust">
    <w:name w:val="Strong"/>
    <w:basedOn w:val="Fontdeparagrafimplicit"/>
    <w:uiPriority w:val="22"/>
    <w:qFormat/>
    <w:rsid w:val="00C524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C52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erasmus.unibu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Ionelia Olteanu</cp:lastModifiedBy>
  <cp:revision>2</cp:revision>
  <dcterms:created xsi:type="dcterms:W3CDTF">2021-02-24T09:15:00Z</dcterms:created>
  <dcterms:modified xsi:type="dcterms:W3CDTF">2021-02-24T09:15:00Z</dcterms:modified>
</cp:coreProperties>
</file>