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D1" w:rsidRDefault="00147AB0">
      <w:r w:rsidRPr="00147AB0">
        <w:t xml:space="preserve">'In 1989 Quentin Smith suggested that ‘instead of dividing </w:t>
      </w:r>
      <w:proofErr w:type="spellStart"/>
      <w:r w:rsidRPr="00147AB0">
        <w:t>indexicals</w:t>
      </w:r>
      <w:proofErr w:type="spellEnd"/>
      <w:r w:rsidRPr="00147AB0">
        <w:t xml:space="preserve"> into demonstratives and pure </w:t>
      </w:r>
      <w:proofErr w:type="spellStart"/>
      <w:r w:rsidRPr="00147AB0">
        <w:t>indexicals</w:t>
      </w:r>
      <w:proofErr w:type="spellEnd"/>
      <w:r w:rsidRPr="00147AB0">
        <w:t xml:space="preserve">, we should divide uses of </w:t>
      </w:r>
      <w:proofErr w:type="spellStart"/>
      <w:r w:rsidRPr="00147AB0">
        <w:t>indexicals</w:t>
      </w:r>
      <w:proofErr w:type="spellEnd"/>
      <w:r w:rsidRPr="00147AB0">
        <w:t xml:space="preserve"> into demonstrative uses and pure indexical uses’. In my talk, I shall discuss Smith’s suggestion. Firstly, I shall discuss the general criteria for distinguishing the two types of uses. Secondly, I shall discuss some applications of the distinction which seems to give us a neat account for dealing with the answering machine puzzle and with some atypical uses of the first-person pronoun. Finally, I shall briefly discuss the relation of the distinction to the use-conditional account of meanings and some typologies of uses of expressions.'</w:t>
      </w:r>
      <w:bookmarkStart w:id="0" w:name="_GoBack"/>
      <w:bookmarkEnd w:id="0"/>
    </w:p>
    <w:sectPr w:rsidR="00EF0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B0"/>
    <w:rsid w:val="00147AB0"/>
    <w:rsid w:val="00505970"/>
    <w:rsid w:val="0083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Ionelia Olteanu</dc:creator>
  <cp:lastModifiedBy>Ionelia Olteanu</cp:lastModifiedBy>
  <cp:revision>1</cp:revision>
  <dcterms:created xsi:type="dcterms:W3CDTF">2022-03-18T08:35:00Z</dcterms:created>
  <dcterms:modified xsi:type="dcterms:W3CDTF">2022-03-18T08:35:00Z</dcterms:modified>
</cp:coreProperties>
</file>