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150F" w14:textId="57E5D471" w:rsidR="00586FC3" w:rsidRPr="00586FC3" w:rsidRDefault="00586FC3" w:rsidP="00D23720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  <w:r w:rsidRPr="00586FC3">
        <w:rPr>
          <w:rFonts w:asciiTheme="minorHAnsi" w:hAnsiTheme="minorHAnsi" w:cstheme="minorHAnsi"/>
          <w:b/>
          <w:bCs/>
          <w:sz w:val="28"/>
          <w:szCs w:val="28"/>
        </w:rPr>
        <w:t xml:space="preserve">Who </w:t>
      </w:r>
      <w:r w:rsidR="003D4734">
        <w:rPr>
          <w:rFonts w:asciiTheme="minorHAnsi" w:hAnsiTheme="minorHAnsi" w:cstheme="minorHAnsi"/>
          <w:b/>
          <w:bCs/>
          <w:sz w:val="28"/>
          <w:szCs w:val="28"/>
        </w:rPr>
        <w:t xml:space="preserve">Really </w:t>
      </w:r>
      <w:r w:rsidRPr="00586FC3">
        <w:rPr>
          <w:rFonts w:asciiTheme="minorHAnsi" w:hAnsiTheme="minorHAnsi" w:cstheme="minorHAnsi"/>
          <w:b/>
          <w:bCs/>
          <w:sz w:val="28"/>
          <w:szCs w:val="28"/>
        </w:rPr>
        <w:t>Built Lepenski Vir?</w:t>
      </w:r>
    </w:p>
    <w:p w14:paraId="51C42DC4" w14:textId="24A7D84B" w:rsidR="00586FC3" w:rsidRPr="00586FC3" w:rsidRDefault="00586FC3" w:rsidP="00D23720">
      <w:pPr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r w:rsidRPr="00586FC3">
        <w:rPr>
          <w:rFonts w:asciiTheme="minorHAnsi" w:hAnsiTheme="minorHAnsi" w:cstheme="minorHAnsi"/>
          <w:sz w:val="24"/>
          <w:szCs w:val="24"/>
        </w:rPr>
        <w:t>Lecture by</w:t>
      </w:r>
      <w:r w:rsidRPr="00586FC3">
        <w:rPr>
          <w:rFonts w:asciiTheme="minorHAnsi" w:hAnsiTheme="minorHAnsi" w:cstheme="minorHAnsi"/>
          <w:i/>
          <w:iCs/>
          <w:sz w:val="24"/>
          <w:szCs w:val="24"/>
        </w:rPr>
        <w:t xml:space="preserve"> Clive Bonsall, University of Edinburgh</w:t>
      </w:r>
    </w:p>
    <w:p w14:paraId="660ECAC5" w14:textId="77777777" w:rsidR="00586FC3" w:rsidRDefault="00586FC3" w:rsidP="00D23720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63FD3A74" w14:textId="255C6EAE" w:rsidR="00974874" w:rsidRPr="00586FC3" w:rsidRDefault="00CB272C" w:rsidP="00D23720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586FC3">
        <w:rPr>
          <w:rFonts w:asciiTheme="minorHAnsi" w:hAnsiTheme="minorHAnsi" w:cstheme="minorHAnsi"/>
          <w:b/>
          <w:bCs/>
          <w:sz w:val="24"/>
          <w:szCs w:val="24"/>
        </w:rPr>
        <w:t>Abstract</w:t>
      </w:r>
    </w:p>
    <w:p w14:paraId="5F04422A" w14:textId="70D05628" w:rsidR="001C31DC" w:rsidRDefault="009926D5" w:rsidP="00D2372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Lepenski Vir in I</w:t>
      </w:r>
      <w:r w:rsidR="003B0A29">
        <w:rPr>
          <w:rFonts w:ascii="Times New Roman" w:hAnsi="Times New Roman" w:cs="Times New Roman"/>
        </w:rPr>
        <w:t xml:space="preserve">ron </w:t>
      </w:r>
      <w:r>
        <w:rPr>
          <w:rFonts w:ascii="Times New Roman" w:hAnsi="Times New Roman" w:cs="Times New Roman"/>
        </w:rPr>
        <w:t>G</w:t>
      </w:r>
      <w:r w:rsidR="003B0A29">
        <w:rPr>
          <w:rFonts w:ascii="Times New Roman" w:hAnsi="Times New Roman" w:cs="Times New Roman"/>
        </w:rPr>
        <w:t>ates</w:t>
      </w:r>
      <w:r>
        <w:rPr>
          <w:rFonts w:ascii="Times New Roman" w:hAnsi="Times New Roman" w:cs="Times New Roman"/>
        </w:rPr>
        <w:t xml:space="preserve"> section of </w:t>
      </w:r>
      <w:r w:rsidR="003B0A2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Danube Valley is one of the most famous </w:t>
      </w:r>
      <w:r w:rsidR="007E463A">
        <w:rPr>
          <w:rFonts w:ascii="Times New Roman" w:hAnsi="Times New Roman" w:cs="Times New Roman"/>
        </w:rPr>
        <w:t xml:space="preserve">and unusual </w:t>
      </w:r>
      <w:r>
        <w:rPr>
          <w:rFonts w:ascii="Times New Roman" w:hAnsi="Times New Roman" w:cs="Times New Roman"/>
        </w:rPr>
        <w:t>arch</w:t>
      </w:r>
      <w:r w:rsidR="003B0A29">
        <w:rPr>
          <w:rFonts w:ascii="Times New Roman" w:hAnsi="Times New Roman" w:cs="Times New Roman"/>
        </w:rPr>
        <w:t>aeologica</w:t>
      </w:r>
      <w:r>
        <w:rPr>
          <w:rFonts w:ascii="Times New Roman" w:hAnsi="Times New Roman" w:cs="Times New Roman"/>
        </w:rPr>
        <w:t>l sites in Europe.</w:t>
      </w:r>
      <w:r w:rsidR="003B0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Tho</w:t>
      </w:r>
      <w:r w:rsidR="003B0A29">
        <w:rPr>
          <w:rFonts w:ascii="Times New Roman" w:hAnsi="Times New Roman" w:cs="Times New Roman"/>
        </w:rPr>
        <w:t>ugh</w:t>
      </w:r>
      <w:r>
        <w:rPr>
          <w:rFonts w:ascii="Times New Roman" w:hAnsi="Times New Roman" w:cs="Times New Roman"/>
        </w:rPr>
        <w:t xml:space="preserve"> widely regarded as </w:t>
      </w:r>
      <w:r w:rsidR="009D25B0">
        <w:rPr>
          <w:rFonts w:ascii="Times New Roman" w:hAnsi="Times New Roman" w:cs="Times New Roman"/>
        </w:rPr>
        <w:t xml:space="preserve">primarily </w:t>
      </w:r>
      <w:r>
        <w:rPr>
          <w:rFonts w:ascii="Times New Roman" w:hAnsi="Times New Roman" w:cs="Times New Roman"/>
        </w:rPr>
        <w:t xml:space="preserve">a </w:t>
      </w:r>
      <w:r w:rsidR="009D25B0">
        <w:rPr>
          <w:rFonts w:ascii="Times New Roman" w:hAnsi="Times New Roman" w:cs="Times New Roman"/>
        </w:rPr>
        <w:t>hunter-gatherer settlement</w:t>
      </w:r>
      <w:r>
        <w:rPr>
          <w:rFonts w:ascii="Times New Roman" w:hAnsi="Times New Roman" w:cs="Times New Roman"/>
        </w:rPr>
        <w:t>, the features that set L</w:t>
      </w:r>
      <w:r w:rsidR="003B0A29">
        <w:rPr>
          <w:rFonts w:ascii="Times New Roman" w:hAnsi="Times New Roman" w:cs="Times New Roman"/>
        </w:rPr>
        <w:t xml:space="preserve">epenski </w:t>
      </w:r>
      <w:r>
        <w:rPr>
          <w:rFonts w:ascii="Times New Roman" w:hAnsi="Times New Roman" w:cs="Times New Roman"/>
        </w:rPr>
        <w:t>V</w:t>
      </w:r>
      <w:r w:rsidR="003B0A29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apart</w:t>
      </w:r>
      <w:r w:rsidR="009B72EB">
        <w:rPr>
          <w:rFonts w:ascii="Times New Roman" w:hAnsi="Times New Roman" w:cs="Times New Roman"/>
        </w:rPr>
        <w:t xml:space="preserve"> from other </w:t>
      </w:r>
      <w:r w:rsidR="003B0A29">
        <w:rPr>
          <w:rFonts w:ascii="Times New Roman" w:hAnsi="Times New Roman" w:cs="Times New Roman"/>
        </w:rPr>
        <w:t xml:space="preserve">‘Mesolithic’ </w:t>
      </w:r>
      <w:r w:rsidR="009B72EB">
        <w:rPr>
          <w:rFonts w:ascii="Times New Roman" w:hAnsi="Times New Roman" w:cs="Times New Roman"/>
        </w:rPr>
        <w:t>sites in the region</w:t>
      </w:r>
      <w:r>
        <w:rPr>
          <w:rFonts w:ascii="Times New Roman" w:hAnsi="Times New Roman" w:cs="Times New Roman"/>
        </w:rPr>
        <w:t xml:space="preserve"> </w:t>
      </w:r>
      <w:r w:rsidR="003B0A29">
        <w:rPr>
          <w:rFonts w:ascii="Times New Roman" w:hAnsi="Times New Roman" w:cs="Times New Roman"/>
        </w:rPr>
        <w:t xml:space="preserve">– the presence of </w:t>
      </w:r>
      <w:r w:rsidR="007E463A">
        <w:rPr>
          <w:rFonts w:ascii="Times New Roman" w:hAnsi="Times New Roman" w:cs="Times New Roman"/>
        </w:rPr>
        <w:t xml:space="preserve">a large number of </w:t>
      </w:r>
      <w:r>
        <w:rPr>
          <w:rFonts w:ascii="Times New Roman" w:hAnsi="Times New Roman" w:cs="Times New Roman"/>
        </w:rPr>
        <w:t>trapezoidal plan buildings</w:t>
      </w:r>
      <w:r w:rsidR="007E463A">
        <w:rPr>
          <w:rFonts w:ascii="Times New Roman" w:hAnsi="Times New Roman" w:cs="Times New Roman"/>
        </w:rPr>
        <w:t xml:space="preserve"> with prepared</w:t>
      </w:r>
      <w:r>
        <w:rPr>
          <w:rFonts w:ascii="Times New Roman" w:hAnsi="Times New Roman" w:cs="Times New Roman"/>
        </w:rPr>
        <w:t xml:space="preserve"> lime plaster floors, </w:t>
      </w:r>
      <w:r w:rsidR="007E463A">
        <w:rPr>
          <w:rFonts w:ascii="Times New Roman" w:hAnsi="Times New Roman" w:cs="Times New Roman"/>
        </w:rPr>
        <w:t xml:space="preserve">often containing </w:t>
      </w:r>
      <w:r w:rsidR="003D4734">
        <w:rPr>
          <w:rFonts w:ascii="Times New Roman" w:hAnsi="Times New Roman" w:cs="Times New Roman"/>
        </w:rPr>
        <w:t>sculpt</w:t>
      </w:r>
      <w:r>
        <w:rPr>
          <w:rFonts w:ascii="Times New Roman" w:hAnsi="Times New Roman" w:cs="Times New Roman"/>
        </w:rPr>
        <w:t>ed boulders</w:t>
      </w:r>
      <w:r w:rsidR="007E463A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burials inserted through the floors</w:t>
      </w:r>
      <w:r w:rsidR="003B0A2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have been shown to date to the period 6200</w:t>
      </w:r>
      <w:r w:rsidR="00586FC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5950 cal BC when Neolithic farmers were </w:t>
      </w:r>
      <w:r w:rsidR="003D4734">
        <w:rPr>
          <w:rFonts w:ascii="Times New Roman" w:hAnsi="Times New Roman" w:cs="Times New Roman"/>
        </w:rPr>
        <w:t>colonising</w:t>
      </w:r>
      <w:r w:rsidR="003B0A29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central and northern Balkans.</w:t>
      </w:r>
    </w:p>
    <w:p w14:paraId="298CBCE3" w14:textId="526CDDC3" w:rsidR="003D27E2" w:rsidRDefault="009B72EB" w:rsidP="00D2372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 since the discovery and excavation of </w:t>
      </w:r>
      <w:r w:rsidR="00F80C6B">
        <w:rPr>
          <w:rFonts w:ascii="Times New Roman" w:hAnsi="Times New Roman" w:cs="Times New Roman"/>
        </w:rPr>
        <w:t xml:space="preserve">the </w:t>
      </w:r>
      <w:r w:rsidR="007E463A">
        <w:rPr>
          <w:rFonts w:ascii="Times New Roman" w:hAnsi="Times New Roman" w:cs="Times New Roman"/>
        </w:rPr>
        <w:t>Stone Age</w:t>
      </w:r>
      <w:r>
        <w:rPr>
          <w:rFonts w:ascii="Times New Roman" w:hAnsi="Times New Roman" w:cs="Times New Roman"/>
        </w:rPr>
        <w:t xml:space="preserve"> sites in </w:t>
      </w:r>
      <w:r w:rsidR="007E463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</w:t>
      </w:r>
      <w:r w:rsidR="007E463A">
        <w:rPr>
          <w:rFonts w:ascii="Times New Roman" w:hAnsi="Times New Roman" w:cs="Times New Roman"/>
        </w:rPr>
        <w:t xml:space="preserve">ron </w:t>
      </w:r>
      <w:r>
        <w:rPr>
          <w:rFonts w:ascii="Times New Roman" w:hAnsi="Times New Roman" w:cs="Times New Roman"/>
        </w:rPr>
        <w:t>G</w:t>
      </w:r>
      <w:r w:rsidR="007E463A">
        <w:rPr>
          <w:rFonts w:ascii="Times New Roman" w:hAnsi="Times New Roman" w:cs="Times New Roman"/>
        </w:rPr>
        <w:t>ates</w:t>
      </w:r>
      <w:r>
        <w:rPr>
          <w:rFonts w:ascii="Times New Roman" w:hAnsi="Times New Roman" w:cs="Times New Roman"/>
        </w:rPr>
        <w:t xml:space="preserve"> gorge in 1960s, there has been an ongoing a debate about the role that Neolithic farmers played in the creation of the ‘Lepenski Vir culture’. </w:t>
      </w:r>
      <w:r w:rsidR="00F80C6B">
        <w:rPr>
          <w:rFonts w:ascii="Times New Roman" w:hAnsi="Times New Roman" w:cs="Times New Roman"/>
        </w:rPr>
        <w:t xml:space="preserve">Recent developments in the field of </w:t>
      </w:r>
      <w:r w:rsidR="00523812">
        <w:rPr>
          <w:rFonts w:ascii="Times New Roman" w:hAnsi="Times New Roman" w:cs="Times New Roman"/>
        </w:rPr>
        <w:t>‘</w:t>
      </w:r>
      <w:proofErr w:type="spellStart"/>
      <w:r w:rsidR="00F80C6B">
        <w:rPr>
          <w:rFonts w:ascii="Times New Roman" w:hAnsi="Times New Roman" w:cs="Times New Roman"/>
        </w:rPr>
        <w:t>archaeogenetics</w:t>
      </w:r>
      <w:proofErr w:type="spellEnd"/>
      <w:r w:rsidR="00523812">
        <w:rPr>
          <w:rFonts w:ascii="Times New Roman" w:hAnsi="Times New Roman" w:cs="Times New Roman"/>
        </w:rPr>
        <w:t>’</w:t>
      </w:r>
      <w:r w:rsidR="00F80C6B">
        <w:rPr>
          <w:rFonts w:ascii="Times New Roman" w:hAnsi="Times New Roman" w:cs="Times New Roman"/>
        </w:rPr>
        <w:t xml:space="preserve"> (the study of ancient DNA)</w:t>
      </w:r>
      <w:r w:rsidR="00523812">
        <w:rPr>
          <w:rFonts w:ascii="Times New Roman" w:hAnsi="Times New Roman" w:cs="Times New Roman"/>
        </w:rPr>
        <w:t>,</w:t>
      </w:r>
      <w:r w:rsidR="00F80C6B">
        <w:rPr>
          <w:rFonts w:ascii="Times New Roman" w:hAnsi="Times New Roman" w:cs="Times New Roman"/>
        </w:rPr>
        <w:t xml:space="preserve"> which </w:t>
      </w:r>
      <w:r w:rsidR="009D25B0">
        <w:rPr>
          <w:rFonts w:ascii="Times New Roman" w:hAnsi="Times New Roman" w:cs="Times New Roman"/>
        </w:rPr>
        <w:t>have established the genetic ancestry of over</w:t>
      </w:r>
      <w:r w:rsidR="00523812">
        <w:rPr>
          <w:rFonts w:ascii="Times New Roman" w:hAnsi="Times New Roman" w:cs="Times New Roman"/>
        </w:rPr>
        <w:t xml:space="preserve"> 30</w:t>
      </w:r>
      <w:r w:rsidR="00F80C6B">
        <w:rPr>
          <w:rFonts w:ascii="Times New Roman" w:hAnsi="Times New Roman" w:cs="Times New Roman"/>
        </w:rPr>
        <w:t xml:space="preserve"> </w:t>
      </w:r>
      <w:r w:rsidR="00523812">
        <w:rPr>
          <w:rFonts w:ascii="Times New Roman" w:hAnsi="Times New Roman" w:cs="Times New Roman"/>
        </w:rPr>
        <w:t>individuals</w:t>
      </w:r>
      <w:r w:rsidR="00F80C6B">
        <w:rPr>
          <w:rFonts w:ascii="Times New Roman" w:hAnsi="Times New Roman" w:cs="Times New Roman"/>
        </w:rPr>
        <w:t xml:space="preserve"> </w:t>
      </w:r>
      <w:r w:rsidR="00523812">
        <w:rPr>
          <w:rFonts w:ascii="Times New Roman" w:hAnsi="Times New Roman" w:cs="Times New Roman"/>
        </w:rPr>
        <w:t>buried at</w:t>
      </w:r>
      <w:r w:rsidR="00F80C6B">
        <w:rPr>
          <w:rFonts w:ascii="Times New Roman" w:hAnsi="Times New Roman" w:cs="Times New Roman"/>
        </w:rPr>
        <w:t xml:space="preserve"> L</w:t>
      </w:r>
      <w:r w:rsidR="007E463A">
        <w:rPr>
          <w:rFonts w:ascii="Times New Roman" w:hAnsi="Times New Roman" w:cs="Times New Roman"/>
        </w:rPr>
        <w:t>epenski Vir</w:t>
      </w:r>
      <w:r w:rsidR="00F80C6B">
        <w:rPr>
          <w:rFonts w:ascii="Times New Roman" w:hAnsi="Times New Roman" w:cs="Times New Roman"/>
        </w:rPr>
        <w:t xml:space="preserve"> and several other Iron Gates</w:t>
      </w:r>
      <w:r w:rsidR="00523812">
        <w:rPr>
          <w:rFonts w:ascii="Times New Roman" w:hAnsi="Times New Roman" w:cs="Times New Roman"/>
        </w:rPr>
        <w:t xml:space="preserve"> sites, </w:t>
      </w:r>
      <w:r w:rsidR="00F80C6B">
        <w:rPr>
          <w:rFonts w:ascii="Times New Roman" w:hAnsi="Times New Roman" w:cs="Times New Roman"/>
        </w:rPr>
        <w:t>have reignited this debat</w:t>
      </w:r>
      <w:r w:rsidR="003B0A29">
        <w:rPr>
          <w:rFonts w:ascii="Times New Roman" w:hAnsi="Times New Roman" w:cs="Times New Roman"/>
        </w:rPr>
        <w:t>e.</w:t>
      </w:r>
    </w:p>
    <w:p w14:paraId="37E7CA55" w14:textId="6751007E" w:rsidR="009B72EB" w:rsidRPr="003B0A29" w:rsidRDefault="003B0A29" w:rsidP="00D2372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lecture reviews the evidence and re-examines the question, </w:t>
      </w:r>
      <w:r w:rsidR="00F80C6B" w:rsidRPr="00F80C6B">
        <w:rPr>
          <w:rFonts w:ascii="Times New Roman" w:hAnsi="Times New Roman" w:cs="Times New Roman"/>
          <w:i/>
          <w:iCs/>
        </w:rPr>
        <w:t>Who Really Built Lepenski Vir</w:t>
      </w:r>
      <w:r w:rsidR="00F80C6B" w:rsidRPr="003B0A29">
        <w:rPr>
          <w:rFonts w:ascii="Times New Roman" w:hAnsi="Times New Roman" w:cs="Times New Roman"/>
          <w:i/>
          <w:iCs/>
        </w:rPr>
        <w:t>?</w:t>
      </w:r>
    </w:p>
    <w:p w14:paraId="21757B20" w14:textId="77777777" w:rsidR="00CB272C" w:rsidRPr="00D23720" w:rsidRDefault="00CB272C" w:rsidP="00D23720">
      <w:pPr>
        <w:spacing w:before="120"/>
        <w:rPr>
          <w:rFonts w:ascii="Times New Roman" w:hAnsi="Times New Roman" w:cs="Times New Roman"/>
        </w:rPr>
      </w:pPr>
    </w:p>
    <w:p w14:paraId="6F70DF3D" w14:textId="2DBCFA3B" w:rsidR="00CB272C" w:rsidRPr="00586FC3" w:rsidRDefault="00CB272C" w:rsidP="00D23720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586FC3">
        <w:rPr>
          <w:rFonts w:asciiTheme="minorHAnsi" w:hAnsiTheme="minorHAnsi" w:cstheme="minorHAnsi"/>
          <w:b/>
          <w:bCs/>
          <w:sz w:val="24"/>
          <w:szCs w:val="24"/>
        </w:rPr>
        <w:t xml:space="preserve">Key </w:t>
      </w:r>
      <w:r w:rsidR="003B0A29" w:rsidRPr="00586FC3">
        <w:rPr>
          <w:rFonts w:asciiTheme="minorHAnsi" w:hAnsiTheme="minorHAnsi" w:cstheme="minorHAnsi"/>
          <w:b/>
          <w:bCs/>
          <w:sz w:val="24"/>
          <w:szCs w:val="24"/>
        </w:rPr>
        <w:t>publications</w:t>
      </w:r>
    </w:p>
    <w:p w14:paraId="4BF0091F" w14:textId="2DCD7B28" w:rsidR="00D23720" w:rsidRPr="00586FC3" w:rsidRDefault="00D23720" w:rsidP="00586FC3">
      <w:pPr>
        <w:pStyle w:val="dx-doi"/>
        <w:numPr>
          <w:ilvl w:val="0"/>
          <w:numId w:val="1"/>
        </w:numPr>
        <w:spacing w:before="0" w:after="0"/>
        <w:rPr>
          <w:color w:val="333333"/>
          <w:sz w:val="22"/>
          <w:szCs w:val="22"/>
        </w:rPr>
      </w:pPr>
      <w:r w:rsidRPr="00586FC3">
        <w:rPr>
          <w:sz w:val="22"/>
          <w:szCs w:val="22"/>
        </w:rPr>
        <w:t xml:space="preserve">Bonsall, C., Lennon, R.J., McSweeney, K., Stewart, C., Harkness, D.D., Boroneanţ, V., Payton, R.W., </w:t>
      </w:r>
      <w:proofErr w:type="spellStart"/>
      <w:r w:rsidRPr="00586FC3">
        <w:rPr>
          <w:sz w:val="22"/>
          <w:szCs w:val="22"/>
        </w:rPr>
        <w:t>Bartosiewicz</w:t>
      </w:r>
      <w:proofErr w:type="spellEnd"/>
      <w:r w:rsidRPr="00586FC3">
        <w:rPr>
          <w:sz w:val="22"/>
          <w:szCs w:val="22"/>
        </w:rPr>
        <w:t xml:space="preserve">, L. and Chapman, J.C. 1997. Mesolithic and Early Neolithic in the Iron Gates: a palaeodietary perspective. </w:t>
      </w:r>
      <w:r w:rsidRPr="00586FC3">
        <w:rPr>
          <w:i/>
          <w:iCs/>
          <w:sz w:val="22"/>
          <w:szCs w:val="22"/>
        </w:rPr>
        <w:t>Journal of European Archaeology</w:t>
      </w:r>
      <w:r w:rsidRPr="00586FC3">
        <w:rPr>
          <w:sz w:val="22"/>
          <w:szCs w:val="22"/>
        </w:rPr>
        <w:t xml:space="preserve"> 5(1): 50–92.</w:t>
      </w:r>
      <w:r w:rsidR="00586FC3" w:rsidRPr="00586FC3">
        <w:rPr>
          <w:sz w:val="22"/>
          <w:szCs w:val="22"/>
        </w:rPr>
        <w:t xml:space="preserve"> </w:t>
      </w:r>
      <w:hyperlink r:id="rId5" w:history="1">
        <w:r w:rsidR="00586FC3" w:rsidRPr="00586FC3">
          <w:rPr>
            <w:rStyle w:val="Hyperlink"/>
            <w:color w:val="006DB4"/>
            <w:sz w:val="22"/>
            <w:szCs w:val="22"/>
          </w:rPr>
          <w:t>https://doi.org/10.1179/096576697800703575</w:t>
        </w:r>
      </w:hyperlink>
    </w:p>
    <w:p w14:paraId="5AFC0844" w14:textId="3F644481" w:rsidR="00CB272C" w:rsidRPr="00586FC3" w:rsidRDefault="00D23720" w:rsidP="00586FC3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</w:rPr>
      </w:pPr>
      <w:r w:rsidRPr="00586FC3">
        <w:rPr>
          <w:rFonts w:ascii="Times New Roman" w:hAnsi="Times New Roman" w:cs="Times New Roman"/>
        </w:rPr>
        <w:t xml:space="preserve">Cook, G.T., Bonsall, C., Hedges, R.E.M., McSweeney, K., Boroneanţ, V. and Pettitt, P.B. 2001. A freshwater diet-derived </w:t>
      </w:r>
      <w:r w:rsidRPr="00586FC3">
        <w:rPr>
          <w:rFonts w:ascii="Times New Roman" w:hAnsi="Times New Roman" w:cs="Times New Roman"/>
          <w:vertAlign w:val="superscript"/>
        </w:rPr>
        <w:t>14</w:t>
      </w:r>
      <w:r w:rsidRPr="00586FC3">
        <w:rPr>
          <w:rFonts w:ascii="Times New Roman" w:hAnsi="Times New Roman" w:cs="Times New Roman"/>
        </w:rPr>
        <w:t xml:space="preserve">C reservoir effect at the Stone Age sites in the Iron Gates gorge. </w:t>
      </w:r>
      <w:r w:rsidRPr="00586FC3">
        <w:rPr>
          <w:rFonts w:ascii="Times New Roman" w:hAnsi="Times New Roman" w:cs="Times New Roman"/>
          <w:i/>
          <w:iCs/>
        </w:rPr>
        <w:t xml:space="preserve">Radiocarbon </w:t>
      </w:r>
      <w:r w:rsidRPr="00586FC3">
        <w:rPr>
          <w:rFonts w:ascii="Times New Roman" w:hAnsi="Times New Roman" w:cs="Times New Roman"/>
        </w:rPr>
        <w:t>43: 453–460.</w:t>
      </w:r>
      <w:r w:rsidR="00586FC3" w:rsidRPr="00586FC3">
        <w:rPr>
          <w:rFonts w:ascii="Times New Roman" w:hAnsi="Times New Roman" w:cs="Times New Roman"/>
        </w:rPr>
        <w:t xml:space="preserve"> </w:t>
      </w:r>
      <w:hyperlink r:id="rId6" w:tgtFrame="_blank" w:history="1">
        <w:r w:rsidR="00586FC3" w:rsidRPr="00586FC3">
          <w:rPr>
            <w:rStyle w:val="text"/>
            <w:rFonts w:ascii="Times New Roman" w:hAnsi="Times New Roman" w:cs="Times New Roman"/>
            <w:color w:val="006FCA"/>
            <w:bdr w:val="none" w:sz="0" w:space="0" w:color="auto" w:frame="1"/>
            <w:shd w:val="clear" w:color="auto" w:fill="F3F3F3"/>
          </w:rPr>
          <w:t>https://doi.org/10.1017/S0033822200038327</w:t>
        </w:r>
      </w:hyperlink>
    </w:p>
    <w:p w14:paraId="34E5AF8B" w14:textId="198A074F" w:rsidR="009D25B0" w:rsidRPr="00586FC3" w:rsidRDefault="009D25B0" w:rsidP="00586FC3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</w:rPr>
      </w:pPr>
      <w:r w:rsidRPr="00586FC3">
        <w:rPr>
          <w:rFonts w:ascii="Times New Roman" w:hAnsi="Times New Roman" w:cs="Times New Roman"/>
        </w:rPr>
        <w:t xml:space="preserve">Mathieson, I. et al. (including C. Bonsall) 2018. The genomic history of Southeastern Europe. </w:t>
      </w:r>
      <w:r w:rsidRPr="00586FC3">
        <w:rPr>
          <w:rFonts w:ascii="Times New Roman" w:hAnsi="Times New Roman" w:cs="Times New Roman"/>
          <w:i/>
          <w:iCs/>
        </w:rPr>
        <w:t>Nature</w:t>
      </w:r>
      <w:r w:rsidRPr="00586FC3">
        <w:rPr>
          <w:rFonts w:ascii="Times New Roman" w:hAnsi="Times New Roman" w:cs="Times New Roman"/>
        </w:rPr>
        <w:t xml:space="preserve"> 555: 197</w:t>
      </w:r>
      <w:r w:rsidR="00586FC3" w:rsidRPr="00586FC3">
        <w:rPr>
          <w:rFonts w:ascii="Times New Roman" w:hAnsi="Times New Roman" w:cs="Times New Roman"/>
        </w:rPr>
        <w:t>–</w:t>
      </w:r>
      <w:r w:rsidRPr="00586FC3">
        <w:rPr>
          <w:rFonts w:ascii="Times New Roman" w:hAnsi="Times New Roman" w:cs="Times New Roman"/>
        </w:rPr>
        <w:t>209.</w:t>
      </w:r>
      <w:r w:rsidR="00586FC3" w:rsidRPr="00586FC3">
        <w:rPr>
          <w:rFonts w:ascii="Times New Roman" w:hAnsi="Times New Roman" w:cs="Times New Roman"/>
        </w:rPr>
        <w:t xml:space="preserve"> </w:t>
      </w:r>
      <w:hyperlink r:id="rId7" w:history="1">
        <w:r w:rsidR="00586FC3" w:rsidRPr="00586FC3">
          <w:rPr>
            <w:rStyle w:val="Hyperlink"/>
            <w:rFonts w:ascii="Times New Roman" w:hAnsi="Times New Roman" w:cs="Times New Roman"/>
          </w:rPr>
          <w:t>http://doi:10.1038/nature25778</w:t>
        </w:r>
      </w:hyperlink>
    </w:p>
    <w:p w14:paraId="6B083322" w14:textId="30771DC0" w:rsidR="00CB272C" w:rsidRPr="00586FC3" w:rsidRDefault="00D23720" w:rsidP="00586FC3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</w:rPr>
      </w:pPr>
      <w:r w:rsidRPr="00586FC3">
        <w:rPr>
          <w:rFonts w:ascii="Times New Roman" w:hAnsi="Times New Roman" w:cs="Times New Roman"/>
        </w:rPr>
        <w:t xml:space="preserve">Cramp, L.J.E., </w:t>
      </w:r>
      <w:proofErr w:type="spellStart"/>
      <w:r w:rsidRPr="00586FC3">
        <w:rPr>
          <w:rFonts w:ascii="Times New Roman" w:hAnsi="Times New Roman" w:cs="Times New Roman"/>
        </w:rPr>
        <w:t>Ethier</w:t>
      </w:r>
      <w:proofErr w:type="spellEnd"/>
      <w:r w:rsidRPr="00586FC3">
        <w:rPr>
          <w:rFonts w:ascii="Times New Roman" w:hAnsi="Times New Roman" w:cs="Times New Roman"/>
        </w:rPr>
        <w:t xml:space="preserve">, J., </w:t>
      </w:r>
      <w:proofErr w:type="spellStart"/>
      <w:r w:rsidRPr="00586FC3">
        <w:rPr>
          <w:rFonts w:ascii="Times New Roman" w:hAnsi="Times New Roman" w:cs="Times New Roman"/>
        </w:rPr>
        <w:t>Urem-Koutsou</w:t>
      </w:r>
      <w:proofErr w:type="spellEnd"/>
      <w:r w:rsidRPr="00586FC3">
        <w:rPr>
          <w:rFonts w:ascii="Times New Roman" w:hAnsi="Times New Roman" w:cs="Times New Roman"/>
        </w:rPr>
        <w:t xml:space="preserve">, D., Bonsall, C., Borić, D., Boroneanţ, A., </w:t>
      </w:r>
      <w:proofErr w:type="spellStart"/>
      <w:r w:rsidRPr="00586FC3">
        <w:rPr>
          <w:rFonts w:ascii="Times New Roman" w:hAnsi="Times New Roman" w:cs="Times New Roman"/>
        </w:rPr>
        <w:t>Evershed</w:t>
      </w:r>
      <w:proofErr w:type="spellEnd"/>
      <w:r w:rsidRPr="00586FC3">
        <w:rPr>
          <w:rFonts w:ascii="Times New Roman" w:hAnsi="Times New Roman" w:cs="Times New Roman"/>
        </w:rPr>
        <w:t xml:space="preserve">, R.P., </w:t>
      </w:r>
      <w:proofErr w:type="spellStart"/>
      <w:r w:rsidRPr="00586FC3">
        <w:rPr>
          <w:rFonts w:ascii="Times New Roman" w:hAnsi="Times New Roman" w:cs="Times New Roman"/>
        </w:rPr>
        <w:t>Perić</w:t>
      </w:r>
      <w:proofErr w:type="spellEnd"/>
      <w:r w:rsidRPr="00586FC3">
        <w:rPr>
          <w:rFonts w:ascii="Times New Roman" w:hAnsi="Times New Roman" w:cs="Times New Roman"/>
        </w:rPr>
        <w:t xml:space="preserve">, S., </w:t>
      </w:r>
      <w:proofErr w:type="spellStart"/>
      <w:r w:rsidRPr="00586FC3">
        <w:rPr>
          <w:rFonts w:ascii="Times New Roman" w:hAnsi="Times New Roman" w:cs="Times New Roman"/>
        </w:rPr>
        <w:t>Roffet-Salque</w:t>
      </w:r>
      <w:proofErr w:type="spellEnd"/>
      <w:r w:rsidRPr="00586FC3">
        <w:rPr>
          <w:rFonts w:ascii="Times New Roman" w:hAnsi="Times New Roman" w:cs="Times New Roman"/>
        </w:rPr>
        <w:t xml:space="preserve">, M., </w:t>
      </w:r>
      <w:proofErr w:type="spellStart"/>
      <w:r w:rsidRPr="00586FC3">
        <w:rPr>
          <w:rFonts w:ascii="Times New Roman" w:hAnsi="Times New Roman" w:cs="Times New Roman"/>
        </w:rPr>
        <w:t>Whelton</w:t>
      </w:r>
      <w:proofErr w:type="spellEnd"/>
      <w:r w:rsidRPr="00586FC3">
        <w:rPr>
          <w:rFonts w:ascii="Times New Roman" w:hAnsi="Times New Roman" w:cs="Times New Roman"/>
        </w:rPr>
        <w:t xml:space="preserve">, H.L. &amp; Ivanova, M. 2019. Regional diversity in subsistence among early farmers in Southeast Europe revealed by archaeological organic residues. </w:t>
      </w:r>
      <w:r w:rsidRPr="00586FC3">
        <w:rPr>
          <w:rFonts w:ascii="Times New Roman" w:hAnsi="Times New Roman" w:cs="Times New Roman"/>
          <w:i/>
          <w:iCs/>
        </w:rPr>
        <w:t>Proceedings of the Royal Society</w:t>
      </w:r>
      <w:r w:rsidRPr="00586FC3">
        <w:rPr>
          <w:rFonts w:ascii="Times New Roman" w:hAnsi="Times New Roman" w:cs="Times New Roman"/>
        </w:rPr>
        <w:t xml:space="preserve"> B 286: 20182347. </w:t>
      </w:r>
      <w:hyperlink r:id="rId8" w:history="1">
        <w:r w:rsidRPr="00586FC3">
          <w:rPr>
            <w:rStyle w:val="Hyperlink"/>
            <w:rFonts w:ascii="Times New Roman" w:hAnsi="Times New Roman" w:cs="Times New Roman"/>
          </w:rPr>
          <w:t>https://doi.org/10.1098/rspb.2018.2347</w:t>
        </w:r>
      </w:hyperlink>
    </w:p>
    <w:p w14:paraId="06DCDED0" w14:textId="153995F6" w:rsidR="001C31DC" w:rsidRPr="00586FC3" w:rsidRDefault="00D23720" w:rsidP="00586FC3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</w:rPr>
      </w:pPr>
      <w:r w:rsidRPr="00586FC3">
        <w:rPr>
          <w:rFonts w:ascii="Times New Roman" w:hAnsi="Times New Roman" w:cs="Times New Roman"/>
        </w:rPr>
        <w:t xml:space="preserve">Pickard, C. &amp; Bonsall, C. 2020. Post-glacial hunter-gatherer subsistence patterns in Britain: dietary reconstruction using FRUITS. </w:t>
      </w:r>
      <w:r w:rsidRPr="00586FC3">
        <w:rPr>
          <w:rFonts w:ascii="Times New Roman" w:hAnsi="Times New Roman" w:cs="Times New Roman"/>
          <w:i/>
          <w:iCs/>
        </w:rPr>
        <w:t>Archaeological and Anthropological Sciences</w:t>
      </w:r>
      <w:r w:rsidRPr="00586FC3">
        <w:rPr>
          <w:rFonts w:ascii="Times New Roman" w:hAnsi="Times New Roman" w:cs="Times New Roman"/>
        </w:rPr>
        <w:t xml:space="preserve"> 12, 142 (2020). </w:t>
      </w:r>
      <w:hyperlink r:id="rId9" w:history="1">
        <w:r w:rsidRPr="00586FC3">
          <w:rPr>
            <w:rStyle w:val="Hyperlink"/>
            <w:rFonts w:ascii="Times New Roman" w:hAnsi="Times New Roman" w:cs="Times New Roman"/>
          </w:rPr>
          <w:t>https://doi.org/10.1007/s12520-020-01087-1</w:t>
        </w:r>
      </w:hyperlink>
    </w:p>
    <w:sectPr w:rsidR="001C31DC" w:rsidRPr="00586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haris SIL">
    <w:altName w:val="Calibri"/>
    <w:panose1 w:val="020B0604020202020204"/>
    <w:charset w:val="4D"/>
    <w:family w:val="auto"/>
    <w:pitch w:val="variable"/>
    <w:sig w:usb0="A00002FF" w:usb1="5200E1FF" w:usb2="02000029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BE6"/>
    <w:multiLevelType w:val="hybridMultilevel"/>
    <w:tmpl w:val="A6B01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26355"/>
    <w:multiLevelType w:val="multilevel"/>
    <w:tmpl w:val="25CE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957040">
    <w:abstractNumId w:val="0"/>
  </w:num>
  <w:num w:numId="2" w16cid:durableId="66509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2C"/>
    <w:rsid w:val="001C31DC"/>
    <w:rsid w:val="003B0A29"/>
    <w:rsid w:val="003D27E2"/>
    <w:rsid w:val="003D4734"/>
    <w:rsid w:val="00523812"/>
    <w:rsid w:val="00586FC3"/>
    <w:rsid w:val="006A4BF2"/>
    <w:rsid w:val="0074499F"/>
    <w:rsid w:val="007E463A"/>
    <w:rsid w:val="00974874"/>
    <w:rsid w:val="009926D5"/>
    <w:rsid w:val="009B72EB"/>
    <w:rsid w:val="009D25B0"/>
    <w:rsid w:val="00B51384"/>
    <w:rsid w:val="00BB130D"/>
    <w:rsid w:val="00CB272C"/>
    <w:rsid w:val="00D23720"/>
    <w:rsid w:val="00F80C6B"/>
    <w:rsid w:val="00F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AA8D46"/>
  <w15:chartTrackingRefBased/>
  <w15:docId w15:val="{3E7A9A99-DD05-BA49-8F17-462E4623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haris SIL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30D"/>
    <w:pPr>
      <w:widowControl w:val="0"/>
      <w:autoSpaceDE w:val="0"/>
      <w:autoSpaceDN w:val="0"/>
    </w:pPr>
    <w:rPr>
      <w:rFonts w:ascii="Charis SIL" w:hAnsi="Charis SIL" w:cs="Charis SI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6A4BF2"/>
    <w:pPr>
      <w:ind w:left="720"/>
      <w:contextualSpacing/>
    </w:pPr>
    <w:rPr>
      <w:rFonts w:ascii="Palatino Linotype" w:hAnsi="Palatino Linotype"/>
    </w:rPr>
  </w:style>
  <w:style w:type="character" w:styleId="Hyperlink">
    <w:name w:val="Hyperlink"/>
    <w:basedOn w:val="DefaultParagraphFont"/>
    <w:uiPriority w:val="99"/>
    <w:unhideWhenUsed/>
    <w:rsid w:val="009D2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5B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86FC3"/>
  </w:style>
  <w:style w:type="paragraph" w:customStyle="1" w:styleId="dx-doi">
    <w:name w:val="dx-doi"/>
    <w:basedOn w:val="Normal"/>
    <w:rsid w:val="00586F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8/rspb.2018.234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i:10.1038/nature25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7/S00338222000383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79/09657669780070357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2520-020-01087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Catalin Lazar</cp:lastModifiedBy>
  <cp:revision>2</cp:revision>
  <dcterms:created xsi:type="dcterms:W3CDTF">2023-03-24T05:36:00Z</dcterms:created>
  <dcterms:modified xsi:type="dcterms:W3CDTF">2023-03-24T05:36:00Z</dcterms:modified>
</cp:coreProperties>
</file>