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6A28EB" w:rsidRDefault="00000000" w:rsidP="0080614A">
      <w:pPr>
        <w:spacing w:after="12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Universitatea din București, campus profesional integrat, liceal și universitar la Focșani</w:t>
      </w:r>
    </w:p>
    <w:p w14:paraId="00000002" w14:textId="77777777" w:rsidR="006A28EB" w:rsidRDefault="006A28EB" w:rsidP="0080614A">
      <w:pPr>
        <w:spacing w:after="120" w:line="240" w:lineRule="auto"/>
        <w:jc w:val="both"/>
        <w:rPr>
          <w:rFonts w:ascii="Times New Roman" w:eastAsia="Times New Roman" w:hAnsi="Times New Roman" w:cs="Times New Roman"/>
          <w:sz w:val="24"/>
          <w:szCs w:val="24"/>
        </w:rPr>
      </w:pPr>
    </w:p>
    <w:p w14:paraId="00000004" w14:textId="5C68F7D9" w:rsidR="006A28EB" w:rsidRDefault="00000000" w:rsidP="0080614A">
      <w:p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Universitatea din București demarează, împreună cu Universitatea „Alexandru Ioan Cuza” din Iași și Consiliul Județean Vrancea, cel mai important proiect educațional din județ, menit să încurajeze învățământul tehnic și economic la nivelul județului: construcția unui campus profesional integrat, liceal și universitar la Focșani.</w:t>
      </w:r>
    </w:p>
    <w:p w14:paraId="00000006" w14:textId="64830D3F" w:rsidR="006A28EB" w:rsidRDefault="00000000" w:rsidP="0080614A">
      <w:p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Campusul va fi construit în județul Vrancea până în anul 2026 și va cuprinde spații de învățământ, spații de cazare, cantină, bază sportivă, săli de lectură, bibliotecă, spații de recreere, care vor deservi liceele și instituțiile de învățământ superior de stat din Vrancea. </w:t>
      </w:r>
    </w:p>
    <w:p w14:paraId="00000008" w14:textId="12A006F3" w:rsidR="006A28EB" w:rsidRDefault="00000000" w:rsidP="0080614A">
      <w:p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Luni, 8 aprilie 2024, la semnarea contractului, Universitatea din București a fost reprezentată de </w:t>
      </w:r>
      <w:r>
        <w:rPr>
          <w:rFonts w:ascii="Times New Roman" w:eastAsia="Times New Roman" w:hAnsi="Times New Roman" w:cs="Times New Roman"/>
          <w:b/>
          <w:sz w:val="24"/>
          <w:szCs w:val="24"/>
        </w:rPr>
        <w:t>prof. univ. dr. Lucian Ciolan</w:t>
      </w:r>
      <w:r>
        <w:rPr>
          <w:rFonts w:ascii="Times New Roman" w:eastAsia="Times New Roman" w:hAnsi="Times New Roman" w:cs="Times New Roman"/>
          <w:sz w:val="24"/>
          <w:szCs w:val="24"/>
        </w:rPr>
        <w:t>, prorector pentru Proiecte de dezvoltare, Învățare continuă și Infrastructură educațională al Universității din București și profesor de politici publice și cercetare în educație în cadrul Facultății de Psihologie și Științele Educației UB.</w:t>
      </w:r>
    </w:p>
    <w:p w14:paraId="0000000A" w14:textId="203762AF" w:rsidR="006A28EB" w:rsidRDefault="00000000" w:rsidP="0080614A">
      <w:p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„Noi, la Universitatea din București, credem cu tărie că România are nevoie de mai mulți poli de dezvoltare. Acesta este și unul dintre motivele pentru care, împreună cu colegii noștri de la Iași am făcut extensii în județul Vrancea. Studiile arată foarte clar că zonele în care instituțiile de educație fac parteneriat cu mediul </w:t>
      </w:r>
      <w:proofErr w:type="spellStart"/>
      <w:r>
        <w:rPr>
          <w:rFonts w:ascii="Times New Roman" w:eastAsia="Times New Roman" w:hAnsi="Times New Roman" w:cs="Times New Roman"/>
          <w:sz w:val="24"/>
          <w:szCs w:val="24"/>
        </w:rPr>
        <w:t>socio</w:t>
      </w:r>
      <w:proofErr w:type="spellEnd"/>
      <w:r>
        <w:rPr>
          <w:rFonts w:ascii="Times New Roman" w:eastAsia="Times New Roman" w:hAnsi="Times New Roman" w:cs="Times New Roman"/>
          <w:sz w:val="24"/>
          <w:szCs w:val="24"/>
        </w:rPr>
        <w:t>-economic, așa cum se întâmplă în acest proiect, reușesc o mai bună retenție a tinerilor, precum și să creeze zone de dezvoltare și să contribuie în mod esențial la îmbunătățirea calității vieții întregii comunități din regiune. Eu aștept cu entuziasm să începem acest proiect. Sunt convins că, în afară de domeniile pe care deja le-am anunțat ca fiind importante pentru acest campus, la nivel local se vor identifica și alte nevoi.”, a declarat prof. univ. dr. Lucian Ciolan.</w:t>
      </w:r>
    </w:p>
    <w:p w14:paraId="0000000C" w14:textId="07D19537" w:rsidR="006A28EB" w:rsidRDefault="00000000" w:rsidP="0080614A">
      <w:p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Campusul școlar și universitar urmează să fie construit în Focșani pe o suprafață de peste două hectare și va include 4 corpuri de clădire: un corp principal (cu săli de curs, amfiteatru, bibliotecă cu sală de lectură, ateliere digitale și laboratoare), un cămin studențesc, cantină și bază sportivă, va avea soluții de energie alternativă (panouri fotovoltaice și stații de încărcare electrică auto) și o parcare proprie, cu 12 stații de încărcare pentru mașini electrice. Campusul va dispune de resurse educaționale, mobilier, ateliere de practică pentru elevi și studenți, precum și de ateliere digitale, asigurând infrastructura necesară pentru pregătirea profesională optimă a elevilor și a studenților și va fi gestionat de </w:t>
      </w:r>
      <w:r>
        <w:rPr>
          <w:rFonts w:ascii="Times New Roman" w:eastAsia="Times New Roman" w:hAnsi="Times New Roman" w:cs="Times New Roman"/>
          <w:i/>
          <w:sz w:val="24"/>
          <w:szCs w:val="24"/>
        </w:rPr>
        <w:t>Consorțiul de învățământ dual</w:t>
      </w:r>
      <w:r>
        <w:rPr>
          <w:rFonts w:ascii="Times New Roman" w:eastAsia="Times New Roman" w:hAnsi="Times New Roman" w:cs="Times New Roman"/>
          <w:sz w:val="24"/>
          <w:szCs w:val="24"/>
        </w:rPr>
        <w:t>, cu sprijinul Ministerului Educației și al autorităților locale.</w:t>
      </w:r>
    </w:p>
    <w:p w14:paraId="0000000E" w14:textId="5498CC0D" w:rsidR="006A28EB" w:rsidRDefault="00000000" w:rsidP="0080614A">
      <w:p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Astfel, la nivelul județului Vrancea a fost constituit </w:t>
      </w:r>
      <w:r>
        <w:rPr>
          <w:rFonts w:ascii="Times New Roman" w:eastAsia="Times New Roman" w:hAnsi="Times New Roman" w:cs="Times New Roman"/>
          <w:i/>
          <w:sz w:val="24"/>
          <w:szCs w:val="24"/>
        </w:rPr>
        <w:t>Consorțiul pentru învățământ dual</w:t>
      </w:r>
      <w:r>
        <w:rPr>
          <w:rFonts w:ascii="Times New Roman" w:eastAsia="Times New Roman" w:hAnsi="Times New Roman" w:cs="Times New Roman"/>
          <w:sz w:val="24"/>
          <w:szCs w:val="24"/>
        </w:rPr>
        <w:t>, al cărui lider este Consiliul Județean Vrancea și la care a aderat atât Universitatea din București, cât și Universitatea „Al. I. Cuza” din Iași, trei colegii tehnice din Focșani (Colegiul Tehnic „Edmond Nicolau”, Colegiul Tehnic „Ion Mincu”, Colegiul Tehnic „Valeriu D.</w:t>
      </w:r>
      <w:r w:rsidR="0080614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Cotea”) și Liceul „Simion Mehedinți” din Vidra, Inspectoratul Școlar Județean Vrancea și trei companii locale, reprezentative în domeniul economic (SC </w:t>
      </w:r>
      <w:proofErr w:type="spellStart"/>
      <w:r>
        <w:rPr>
          <w:rFonts w:ascii="Times New Roman" w:eastAsia="Times New Roman" w:hAnsi="Times New Roman" w:cs="Times New Roman"/>
          <w:sz w:val="24"/>
          <w:szCs w:val="24"/>
        </w:rPr>
        <w:t>Paco</w:t>
      </w:r>
      <w:proofErr w:type="spellEnd"/>
      <w:r>
        <w:rPr>
          <w:rFonts w:ascii="Times New Roman" w:eastAsia="Times New Roman" w:hAnsi="Times New Roman" w:cs="Times New Roman"/>
          <w:sz w:val="24"/>
          <w:szCs w:val="24"/>
        </w:rPr>
        <w:t xml:space="preserve"> Prod Serv SRL, SC </w:t>
      </w:r>
      <w:proofErr w:type="spellStart"/>
      <w:r>
        <w:rPr>
          <w:rFonts w:ascii="Times New Roman" w:eastAsia="Times New Roman" w:hAnsi="Times New Roman" w:cs="Times New Roman"/>
          <w:sz w:val="24"/>
          <w:szCs w:val="24"/>
        </w:rPr>
        <w:t>Micromet</w:t>
      </w:r>
      <w:proofErr w:type="spellEnd"/>
      <w:r>
        <w:rPr>
          <w:rFonts w:ascii="Times New Roman" w:eastAsia="Times New Roman" w:hAnsi="Times New Roman" w:cs="Times New Roman"/>
          <w:sz w:val="24"/>
          <w:szCs w:val="24"/>
        </w:rPr>
        <w:t xml:space="preserve"> SA Focșani, SC </w:t>
      </w:r>
      <w:proofErr w:type="spellStart"/>
      <w:r>
        <w:rPr>
          <w:rFonts w:ascii="Times New Roman" w:eastAsia="Times New Roman" w:hAnsi="Times New Roman" w:cs="Times New Roman"/>
          <w:sz w:val="24"/>
          <w:szCs w:val="24"/>
        </w:rPr>
        <w:t>Simiz</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Fashion</w:t>
      </w:r>
      <w:proofErr w:type="spellEnd"/>
      <w:r>
        <w:rPr>
          <w:rFonts w:ascii="Times New Roman" w:eastAsia="Times New Roman" w:hAnsi="Times New Roman" w:cs="Times New Roman"/>
          <w:sz w:val="24"/>
          <w:szCs w:val="24"/>
        </w:rPr>
        <w:t xml:space="preserve"> SRL).</w:t>
      </w:r>
    </w:p>
    <w:p w14:paraId="00000011" w14:textId="17A5F438" w:rsidR="006A28EB" w:rsidRDefault="00000000" w:rsidP="0080614A">
      <w:p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Vrancea și-au unit forțele, sub coordonarea Consiliului Județean, două universități, patru unități de învățământ preuniversitar, patru operatori economici și inspectoratul școlar, pentru a oferi tinerilor din comunitate posibilitatea să-și dezvolte competențele de care au nevoie pentru inserția pe piața muncii în domenii-cheie pentru economia locală, precum: turism, mecatronică și robotică, industrie alimentară. Cred în puterea pe care ruta duală completă o are în asigurarea unei formări profesionale de calitate pentru tineri, iar întâlnirea de astăzi a fost o dovadă a determinării pe care echipa de implementare a proiectului o are pentru a-și atinge obiectivele. Îi asigur pe membrii consorțiului de întreg sprijinul Ministerului Educației în implementarea proiectului!”, a declarat Ministr</w:t>
      </w:r>
      <w:r w:rsidR="0080614A">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Educației, Ligia </w:t>
      </w:r>
      <w:proofErr w:type="spellStart"/>
      <w:r>
        <w:rPr>
          <w:rFonts w:ascii="Times New Roman" w:eastAsia="Times New Roman" w:hAnsi="Times New Roman" w:cs="Times New Roman"/>
          <w:sz w:val="24"/>
          <w:szCs w:val="24"/>
        </w:rPr>
        <w:t>Deca</w:t>
      </w:r>
      <w:proofErr w:type="spellEnd"/>
      <w:r>
        <w:rPr>
          <w:rFonts w:ascii="Times New Roman" w:eastAsia="Times New Roman" w:hAnsi="Times New Roman" w:cs="Times New Roman"/>
          <w:sz w:val="24"/>
          <w:szCs w:val="24"/>
        </w:rPr>
        <w:t>.</w:t>
      </w:r>
    </w:p>
    <w:p w14:paraId="00000013" w14:textId="17BB5C6B" w:rsidR="006A28EB" w:rsidRDefault="00000000" w:rsidP="0080614A">
      <w:p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Proiectul este finanțat în cadrul </w:t>
      </w:r>
      <w:r>
        <w:rPr>
          <w:rFonts w:ascii="Times New Roman" w:eastAsia="Times New Roman" w:hAnsi="Times New Roman" w:cs="Times New Roman"/>
          <w:b/>
          <w:sz w:val="24"/>
          <w:szCs w:val="24"/>
        </w:rPr>
        <w:t>Programului Național de Redresare și Reziliență (PNRR)</w:t>
      </w:r>
      <w:r>
        <w:rPr>
          <w:rFonts w:ascii="Times New Roman" w:eastAsia="Times New Roman" w:hAnsi="Times New Roman" w:cs="Times New Roman"/>
          <w:sz w:val="24"/>
          <w:szCs w:val="24"/>
        </w:rPr>
        <w:t xml:space="preserve">, Pilonul IV: Politici pentru noua generație, Componenta C15: Educație, Reforma 4: Crearea unei rute profesionale complete pentru învățământul tehnic superior, Investiția 6: Dezvoltarea a minimum 10 consorții regionale și dezvoltarea și dotarea a minimum 10 campusuri profesionale integrate. </w:t>
      </w:r>
    </w:p>
    <w:p w14:paraId="00000014" w14:textId="77777777" w:rsidR="006A28EB" w:rsidRDefault="00000000" w:rsidP="0080614A">
      <w:pPr>
        <w:spacing w:after="120" w:line="240" w:lineRule="auto"/>
        <w:jc w:val="both"/>
      </w:pPr>
      <w:r>
        <w:rPr>
          <w:rFonts w:ascii="Times New Roman" w:eastAsia="Times New Roman" w:hAnsi="Times New Roman" w:cs="Times New Roman"/>
          <w:sz w:val="24"/>
          <w:szCs w:val="24"/>
        </w:rPr>
        <w:t xml:space="preserve">Valoarea totală a proiectului este de 157.146.578 lei, din care valoarea finanțării nerambursabile din PNRR este de 123.661.511 lei, iar contribuția proprie eligibilă a Consiliului Județean este de 30.934.702 lei (20%). </w:t>
      </w:r>
    </w:p>
    <w:p w14:paraId="00000015" w14:textId="77777777" w:rsidR="006A28EB" w:rsidRDefault="006A28EB" w:rsidP="0080614A">
      <w:pPr>
        <w:spacing w:after="120" w:line="240" w:lineRule="auto"/>
      </w:pPr>
    </w:p>
    <w:sectPr w:rsidR="006A28EB">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8EB"/>
    <w:rsid w:val="006A28EB"/>
    <w:rsid w:val="008061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A736E"/>
  <w15:docId w15:val="{3CED5D3A-BA81-46B4-A5E6-34B1617B7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ro"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703</Words>
  <Characters>4012</Characters>
  <Application>Microsoft Office Word</Application>
  <DocSecurity>0</DocSecurity>
  <Lines>33</Lines>
  <Paragraphs>9</Paragraphs>
  <ScaleCrop>false</ScaleCrop>
  <Company/>
  <LinksUpToDate>false</LinksUpToDate>
  <CharactersWithSpaces>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IOAN MICLEA</cp:lastModifiedBy>
  <cp:revision>3</cp:revision>
  <dcterms:created xsi:type="dcterms:W3CDTF">2024-04-10T14:27:00Z</dcterms:created>
  <dcterms:modified xsi:type="dcterms:W3CDTF">2024-04-10T14:32:00Z</dcterms:modified>
</cp:coreProperties>
</file>